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3282" w:rsidRDefault="00643282" w:rsidP="00643282">
      <w:pPr>
        <w:pStyle w:val="1"/>
      </w:pPr>
      <w:r>
        <w:t>About the Higher Education Academy</w:t>
      </w:r>
    </w:p>
    <w:p w:rsidR="00643282" w:rsidRDefault="00643282" w:rsidP="00643282">
      <w:pPr>
        <w:pStyle w:val="aa"/>
        <w:rPr>
          <w:rFonts w:ascii="Open Sans" w:hAnsi="Open Sans" w:cs="Open Sans"/>
          <w:color w:val="000000"/>
          <w:szCs w:val="27"/>
        </w:rPr>
      </w:pPr>
      <w:r w:rsidRPr="008C216B">
        <w:rPr>
          <w:rFonts w:ascii="Open Sans" w:hAnsi="Open Sans" w:cs="Open Sans"/>
          <w:color w:val="000000"/>
          <w:szCs w:val="27"/>
        </w:rPr>
        <w:t>The High</w:t>
      </w:r>
      <w:r>
        <w:rPr>
          <w:rFonts w:ascii="Open Sans" w:hAnsi="Open Sans" w:cs="Open Sans"/>
          <w:color w:val="000000"/>
          <w:szCs w:val="27"/>
        </w:rPr>
        <w:t xml:space="preserve">er Education Academy (HEA) is an international </w:t>
      </w:r>
      <w:r w:rsidRPr="008C216B">
        <w:rPr>
          <w:rFonts w:ascii="Open Sans" w:hAnsi="Open Sans" w:cs="Open Sans"/>
          <w:color w:val="000000"/>
          <w:szCs w:val="27"/>
        </w:rPr>
        <w:t xml:space="preserve">body </w:t>
      </w:r>
      <w:r>
        <w:rPr>
          <w:rFonts w:ascii="Open Sans" w:hAnsi="Open Sans" w:cs="Open Sans"/>
          <w:color w:val="000000"/>
          <w:szCs w:val="27"/>
        </w:rPr>
        <w:t xml:space="preserve">based in the UK </w:t>
      </w:r>
      <w:r w:rsidRPr="008C216B">
        <w:rPr>
          <w:rFonts w:ascii="Open Sans" w:hAnsi="Open Sans" w:cs="Open Sans"/>
          <w:color w:val="000000"/>
          <w:szCs w:val="27"/>
        </w:rPr>
        <w:t>with a global network, working across the world to enhance the quality of the teaching and learning support and experience for students, ensuring the education they receive is world-class.</w:t>
      </w:r>
    </w:p>
    <w:p w:rsidR="00643282" w:rsidRDefault="00643282" w:rsidP="00643282">
      <w:pPr>
        <w:pStyle w:val="aa"/>
        <w:rPr>
          <w:rFonts w:ascii="Open Sans" w:hAnsi="Open Sans" w:cs="Open Sans"/>
          <w:color w:val="000000"/>
          <w:szCs w:val="27"/>
        </w:rPr>
      </w:pPr>
      <w:r w:rsidRPr="008C216B">
        <w:rPr>
          <w:rFonts w:ascii="Open Sans" w:hAnsi="Open Sans" w:cs="Open Sans"/>
          <w:color w:val="000000"/>
          <w:szCs w:val="27"/>
        </w:rPr>
        <w:t>The HEA is a not-for-profit organisation that works with individuals, institutions and governments to improv</w:t>
      </w:r>
      <w:r>
        <w:rPr>
          <w:rFonts w:ascii="Open Sans" w:hAnsi="Open Sans" w:cs="Open Sans"/>
          <w:color w:val="000000"/>
          <w:szCs w:val="27"/>
        </w:rPr>
        <w:t xml:space="preserve">e teaching at a local, regional, </w:t>
      </w:r>
      <w:r w:rsidRPr="008C216B">
        <w:rPr>
          <w:rFonts w:ascii="Open Sans" w:hAnsi="Open Sans" w:cs="Open Sans"/>
          <w:color w:val="000000"/>
          <w:szCs w:val="27"/>
        </w:rPr>
        <w:t>national</w:t>
      </w:r>
      <w:r>
        <w:rPr>
          <w:rFonts w:ascii="Open Sans" w:hAnsi="Open Sans" w:cs="Open Sans"/>
          <w:color w:val="000000"/>
          <w:szCs w:val="27"/>
        </w:rPr>
        <w:t xml:space="preserve"> and international</w:t>
      </w:r>
      <w:r w:rsidRPr="008C216B">
        <w:rPr>
          <w:rFonts w:ascii="Open Sans" w:hAnsi="Open Sans" w:cs="Open Sans"/>
          <w:color w:val="000000"/>
          <w:szCs w:val="27"/>
        </w:rPr>
        <w:t xml:space="preserve"> level. There are now over 250 institutions that subscribe to the HEA from </w:t>
      </w:r>
      <w:r>
        <w:rPr>
          <w:rFonts w:ascii="Open Sans" w:hAnsi="Open Sans" w:cs="Open Sans"/>
          <w:color w:val="000000"/>
          <w:szCs w:val="27"/>
        </w:rPr>
        <w:t>eight</w:t>
      </w:r>
      <w:r w:rsidRPr="008C216B">
        <w:rPr>
          <w:rFonts w:ascii="Open Sans" w:hAnsi="Open Sans" w:cs="Open Sans"/>
          <w:color w:val="000000"/>
          <w:szCs w:val="27"/>
        </w:rPr>
        <w:t xml:space="preserve"> different countries, and there are over 83,000 fellows of the </w:t>
      </w:r>
      <w:r>
        <w:rPr>
          <w:rFonts w:ascii="Open Sans" w:hAnsi="Open Sans" w:cs="Open Sans"/>
          <w:color w:val="000000"/>
          <w:szCs w:val="27"/>
        </w:rPr>
        <w:t>HEA</w:t>
      </w:r>
      <w:r w:rsidRPr="008C216B">
        <w:rPr>
          <w:rFonts w:ascii="Open Sans" w:hAnsi="Open Sans" w:cs="Open Sans"/>
          <w:color w:val="000000"/>
          <w:szCs w:val="27"/>
        </w:rPr>
        <w:t xml:space="preserve"> across the world. </w:t>
      </w:r>
      <w:r>
        <w:rPr>
          <w:rFonts w:ascii="Open Sans" w:hAnsi="Open Sans" w:cs="Open Sans"/>
          <w:color w:val="000000"/>
          <w:szCs w:val="27"/>
        </w:rPr>
        <w:t>Fellowship</w:t>
      </w:r>
      <w:r w:rsidRPr="000B53E1">
        <w:t xml:space="preserve"> </w:t>
      </w:r>
      <w:r>
        <w:t>i</w:t>
      </w:r>
      <w:r w:rsidRPr="000B53E1">
        <w:rPr>
          <w:rFonts w:ascii="Open Sans" w:hAnsi="Open Sans" w:cs="Open Sans"/>
          <w:color w:val="000000"/>
          <w:szCs w:val="27"/>
        </w:rPr>
        <w:t xml:space="preserve">s an international recognition of a commitment to professionalism in teaching and learning in </w:t>
      </w:r>
      <w:r>
        <w:rPr>
          <w:rFonts w:ascii="Open Sans" w:hAnsi="Open Sans" w:cs="Open Sans"/>
          <w:color w:val="000000"/>
          <w:szCs w:val="27"/>
        </w:rPr>
        <w:t>higher education, and is increasingly being linked to recruitment and promotion within universities.</w:t>
      </w:r>
    </w:p>
    <w:p w:rsidR="00643282" w:rsidRPr="008C216B" w:rsidRDefault="00643282" w:rsidP="00643282">
      <w:pPr>
        <w:pStyle w:val="aa"/>
        <w:rPr>
          <w:rFonts w:ascii="Open Sans" w:hAnsi="Open Sans" w:cs="Open Sans"/>
          <w:color w:val="000000"/>
          <w:szCs w:val="27"/>
        </w:rPr>
      </w:pPr>
      <w:r>
        <w:rPr>
          <w:rFonts w:ascii="Open Sans" w:hAnsi="Open Sans" w:cs="Open Sans"/>
          <w:color w:val="000000"/>
          <w:szCs w:val="27"/>
        </w:rPr>
        <w:t xml:space="preserve">The HEA has an internationally recognised </w:t>
      </w:r>
      <w:r w:rsidRPr="008C216B">
        <w:rPr>
          <w:rFonts w:ascii="Open Sans" w:hAnsi="Open Sans" w:cs="Open Sans"/>
          <w:color w:val="000000"/>
          <w:szCs w:val="27"/>
        </w:rPr>
        <w:t xml:space="preserve">professional development framework for teaching in higher education (the PSF), with a proven record of adapting this and establishing </w:t>
      </w:r>
      <w:r>
        <w:rPr>
          <w:rFonts w:ascii="Open Sans" w:hAnsi="Open Sans" w:cs="Open Sans"/>
          <w:color w:val="000000"/>
          <w:szCs w:val="27"/>
        </w:rPr>
        <w:t>development</w:t>
      </w:r>
      <w:bookmarkStart w:id="0" w:name="_GoBack"/>
      <w:bookmarkEnd w:id="0"/>
      <w:r w:rsidRPr="008C216B">
        <w:rPr>
          <w:rFonts w:ascii="Open Sans" w:hAnsi="Open Sans" w:cs="Open Sans"/>
          <w:color w:val="000000"/>
          <w:szCs w:val="27"/>
        </w:rPr>
        <w:t xml:space="preserve"> program</w:t>
      </w:r>
      <w:r>
        <w:rPr>
          <w:rFonts w:ascii="Open Sans" w:hAnsi="Open Sans" w:cs="Open Sans"/>
          <w:color w:val="000000"/>
          <w:szCs w:val="27"/>
        </w:rPr>
        <w:t>me</w:t>
      </w:r>
      <w:r w:rsidRPr="008C216B">
        <w:rPr>
          <w:rFonts w:ascii="Open Sans" w:hAnsi="Open Sans" w:cs="Open Sans"/>
          <w:color w:val="000000"/>
          <w:szCs w:val="27"/>
        </w:rPr>
        <w:t>s, through a global network of strategic partners and subscribers. Furthermore, the HEA provides consultancy and workshops on:</w:t>
      </w:r>
    </w:p>
    <w:p w:rsidR="00643282" w:rsidRDefault="00643282" w:rsidP="00643282">
      <w:pPr>
        <w:pStyle w:val="aa"/>
        <w:numPr>
          <w:ilvl w:val="0"/>
          <w:numId w:val="31"/>
        </w:numPr>
        <w:rPr>
          <w:rFonts w:ascii="Open Sans" w:hAnsi="Open Sans" w:cs="Open Sans"/>
          <w:color w:val="000000"/>
          <w:szCs w:val="27"/>
        </w:rPr>
      </w:pPr>
      <w:r>
        <w:rPr>
          <w:rFonts w:ascii="Open Sans" w:hAnsi="Open Sans" w:cs="Open Sans"/>
          <w:color w:val="000000"/>
          <w:szCs w:val="27"/>
        </w:rPr>
        <w:t>Teaching and management in higher education, supporting all staff, from those new to teaching to senior leaders. This includes delivering Certificates in Teaching and Learning, and in Leading Teaching and Learning</w:t>
      </w:r>
    </w:p>
    <w:p w:rsidR="00643282" w:rsidRDefault="00643282" w:rsidP="00643282">
      <w:pPr>
        <w:pStyle w:val="aa"/>
        <w:numPr>
          <w:ilvl w:val="0"/>
          <w:numId w:val="31"/>
        </w:numPr>
        <w:rPr>
          <w:rFonts w:ascii="Open Sans" w:hAnsi="Open Sans" w:cs="Open Sans"/>
          <w:color w:val="000000"/>
          <w:szCs w:val="27"/>
        </w:rPr>
      </w:pPr>
      <w:r>
        <w:rPr>
          <w:rFonts w:ascii="Open Sans" w:hAnsi="Open Sans" w:cs="Open Sans"/>
          <w:color w:val="000000"/>
          <w:szCs w:val="27"/>
        </w:rPr>
        <w:t>The six areas of the HEA FrameWORKS series:</w:t>
      </w:r>
    </w:p>
    <w:p w:rsidR="00643282" w:rsidRDefault="00643282" w:rsidP="00643282">
      <w:pPr>
        <w:pStyle w:val="aa"/>
        <w:numPr>
          <w:ilvl w:val="1"/>
          <w:numId w:val="31"/>
        </w:numPr>
        <w:rPr>
          <w:rFonts w:ascii="Open Sans" w:hAnsi="Open Sans" w:cs="Open Sans"/>
          <w:color w:val="000000"/>
          <w:szCs w:val="27"/>
        </w:rPr>
      </w:pPr>
      <w:r>
        <w:rPr>
          <w:rFonts w:ascii="Open Sans" w:hAnsi="Open Sans" w:cs="Open Sans"/>
          <w:color w:val="000000"/>
          <w:szCs w:val="27"/>
        </w:rPr>
        <w:t>Transforming Assessment</w:t>
      </w:r>
    </w:p>
    <w:p w:rsidR="00643282" w:rsidRDefault="00643282" w:rsidP="00643282">
      <w:pPr>
        <w:pStyle w:val="aa"/>
        <w:numPr>
          <w:ilvl w:val="1"/>
          <w:numId w:val="31"/>
        </w:numPr>
        <w:rPr>
          <w:rFonts w:ascii="Open Sans" w:hAnsi="Open Sans" w:cs="Open Sans"/>
          <w:color w:val="000000"/>
          <w:szCs w:val="27"/>
        </w:rPr>
      </w:pPr>
      <w:r>
        <w:rPr>
          <w:rFonts w:ascii="Open Sans" w:hAnsi="Open Sans" w:cs="Open Sans"/>
          <w:color w:val="000000"/>
          <w:szCs w:val="27"/>
        </w:rPr>
        <w:t>Embedding Employability</w:t>
      </w:r>
    </w:p>
    <w:p w:rsidR="00643282" w:rsidRDefault="00643282" w:rsidP="00643282">
      <w:pPr>
        <w:pStyle w:val="aa"/>
        <w:numPr>
          <w:ilvl w:val="1"/>
          <w:numId w:val="31"/>
        </w:numPr>
        <w:rPr>
          <w:rFonts w:ascii="Open Sans" w:hAnsi="Open Sans" w:cs="Open Sans"/>
          <w:color w:val="000000"/>
          <w:szCs w:val="27"/>
        </w:rPr>
      </w:pPr>
      <w:r>
        <w:rPr>
          <w:rFonts w:ascii="Open Sans" w:hAnsi="Open Sans" w:cs="Open Sans"/>
          <w:color w:val="000000"/>
          <w:szCs w:val="27"/>
        </w:rPr>
        <w:t>Student access, retention, attainment and progression</w:t>
      </w:r>
    </w:p>
    <w:p w:rsidR="00643282" w:rsidRDefault="00643282" w:rsidP="00643282">
      <w:pPr>
        <w:pStyle w:val="aa"/>
        <w:numPr>
          <w:ilvl w:val="1"/>
          <w:numId w:val="31"/>
        </w:numPr>
        <w:rPr>
          <w:rFonts w:ascii="Open Sans" w:hAnsi="Open Sans" w:cs="Open Sans"/>
          <w:color w:val="000000"/>
          <w:szCs w:val="27"/>
        </w:rPr>
      </w:pPr>
      <w:r>
        <w:rPr>
          <w:rFonts w:ascii="Open Sans" w:hAnsi="Open Sans" w:cs="Open Sans"/>
          <w:color w:val="000000"/>
          <w:szCs w:val="27"/>
        </w:rPr>
        <w:t>Student engagement through partnership</w:t>
      </w:r>
    </w:p>
    <w:p w:rsidR="00643282" w:rsidRDefault="00643282" w:rsidP="00643282">
      <w:pPr>
        <w:pStyle w:val="aa"/>
        <w:numPr>
          <w:ilvl w:val="1"/>
          <w:numId w:val="31"/>
        </w:numPr>
        <w:rPr>
          <w:rFonts w:ascii="Open Sans" w:hAnsi="Open Sans" w:cs="Open Sans"/>
          <w:color w:val="000000"/>
          <w:szCs w:val="27"/>
        </w:rPr>
      </w:pPr>
      <w:r>
        <w:rPr>
          <w:rFonts w:ascii="Open Sans" w:hAnsi="Open Sans" w:cs="Open Sans"/>
          <w:color w:val="000000"/>
          <w:szCs w:val="27"/>
        </w:rPr>
        <w:t>Internationalising HE</w:t>
      </w:r>
    </w:p>
    <w:p w:rsidR="00643282" w:rsidRDefault="00643282" w:rsidP="00643282">
      <w:pPr>
        <w:pStyle w:val="aa"/>
        <w:numPr>
          <w:ilvl w:val="1"/>
          <w:numId w:val="31"/>
        </w:numPr>
        <w:rPr>
          <w:rFonts w:ascii="Open Sans" w:hAnsi="Open Sans" w:cs="Open Sans"/>
          <w:color w:val="000000"/>
          <w:szCs w:val="27"/>
        </w:rPr>
      </w:pPr>
      <w:r>
        <w:rPr>
          <w:rFonts w:ascii="Open Sans" w:hAnsi="Open Sans" w:cs="Open Sans"/>
          <w:color w:val="000000"/>
          <w:szCs w:val="27"/>
        </w:rPr>
        <w:t>Flexible Learning in HE</w:t>
      </w:r>
    </w:p>
    <w:p w:rsidR="00643282" w:rsidRDefault="00643282" w:rsidP="00643282">
      <w:pPr>
        <w:pStyle w:val="aa"/>
        <w:numPr>
          <w:ilvl w:val="0"/>
          <w:numId w:val="31"/>
        </w:numPr>
        <w:rPr>
          <w:rFonts w:ascii="Open Sans" w:hAnsi="Open Sans" w:cs="Open Sans"/>
          <w:color w:val="000000"/>
          <w:szCs w:val="27"/>
        </w:rPr>
      </w:pPr>
      <w:r>
        <w:rPr>
          <w:rFonts w:ascii="Open Sans" w:hAnsi="Open Sans" w:cs="Open Sans"/>
          <w:color w:val="000000"/>
          <w:szCs w:val="27"/>
        </w:rPr>
        <w:t>Achieving fellowship of the Higher Education Academy</w:t>
      </w:r>
    </w:p>
    <w:p w:rsidR="00643282" w:rsidRPr="008C216B" w:rsidRDefault="00643282" w:rsidP="00643282">
      <w:pPr>
        <w:pStyle w:val="aa"/>
        <w:numPr>
          <w:ilvl w:val="0"/>
          <w:numId w:val="31"/>
        </w:numPr>
        <w:rPr>
          <w:rFonts w:ascii="Open Sans" w:hAnsi="Open Sans" w:cs="Open Sans"/>
          <w:color w:val="000000"/>
          <w:szCs w:val="27"/>
        </w:rPr>
      </w:pPr>
      <w:r>
        <w:rPr>
          <w:rFonts w:ascii="Open Sans" w:hAnsi="Open Sans" w:cs="Open Sans"/>
          <w:color w:val="000000"/>
          <w:szCs w:val="27"/>
        </w:rPr>
        <w:t>I</w:t>
      </w:r>
      <w:r w:rsidRPr="008C216B">
        <w:rPr>
          <w:rFonts w:ascii="Open Sans" w:hAnsi="Open Sans" w:cs="Open Sans"/>
          <w:color w:val="000000"/>
          <w:szCs w:val="27"/>
        </w:rPr>
        <w:t>dentifying practice gaps</w:t>
      </w:r>
      <w:r>
        <w:rPr>
          <w:rFonts w:ascii="Open Sans" w:hAnsi="Open Sans" w:cs="Open Sans"/>
          <w:color w:val="000000"/>
          <w:szCs w:val="27"/>
        </w:rPr>
        <w:t xml:space="preserve"> </w:t>
      </w:r>
    </w:p>
    <w:p w:rsidR="00643282" w:rsidRPr="008C216B" w:rsidRDefault="00643282" w:rsidP="00643282">
      <w:pPr>
        <w:pStyle w:val="aa"/>
        <w:numPr>
          <w:ilvl w:val="0"/>
          <w:numId w:val="31"/>
        </w:numPr>
        <w:rPr>
          <w:rFonts w:ascii="Open Sans" w:hAnsi="Open Sans" w:cs="Open Sans"/>
          <w:color w:val="000000"/>
          <w:szCs w:val="27"/>
        </w:rPr>
      </w:pPr>
      <w:r>
        <w:rPr>
          <w:rFonts w:ascii="Open Sans" w:hAnsi="Open Sans" w:cs="Open Sans"/>
          <w:color w:val="000000"/>
          <w:szCs w:val="27"/>
        </w:rPr>
        <w:t>Use of surveys to understand student needs</w:t>
      </w:r>
    </w:p>
    <w:p w:rsidR="00643282" w:rsidRPr="00782351" w:rsidRDefault="00643282" w:rsidP="00643282">
      <w:pPr>
        <w:pStyle w:val="aa"/>
        <w:rPr>
          <w:rFonts w:ascii="Open Sans" w:hAnsi="Open Sans" w:cs="Open Sans"/>
          <w:color w:val="000000"/>
          <w:szCs w:val="27"/>
        </w:rPr>
      </w:pPr>
      <w:r w:rsidRPr="008C216B">
        <w:rPr>
          <w:rFonts w:ascii="Open Sans" w:hAnsi="Open Sans" w:cs="Open Sans"/>
          <w:color w:val="000000"/>
          <w:szCs w:val="27"/>
        </w:rPr>
        <w:t xml:space="preserve">The HEA is active across the globe </w:t>
      </w:r>
      <w:r>
        <w:rPr>
          <w:rFonts w:ascii="Open Sans" w:hAnsi="Open Sans" w:cs="Open Sans"/>
          <w:color w:val="000000"/>
          <w:szCs w:val="27"/>
        </w:rPr>
        <w:t>and has recently delivered projects</w:t>
      </w:r>
      <w:r w:rsidRPr="008C216B">
        <w:rPr>
          <w:rFonts w:ascii="Open Sans" w:hAnsi="Open Sans" w:cs="Open Sans"/>
          <w:color w:val="000000"/>
          <w:szCs w:val="27"/>
        </w:rPr>
        <w:t xml:space="preserve"> in </w:t>
      </w:r>
      <w:r>
        <w:rPr>
          <w:rFonts w:ascii="Open Sans" w:hAnsi="Open Sans" w:cs="Open Sans"/>
          <w:color w:val="000000"/>
          <w:szCs w:val="27"/>
        </w:rPr>
        <w:t>the following countries:</w:t>
      </w:r>
      <w:r w:rsidRPr="008C216B">
        <w:rPr>
          <w:rFonts w:ascii="Open Sans" w:hAnsi="Open Sans" w:cs="Open Sans"/>
          <w:color w:val="000000"/>
          <w:szCs w:val="27"/>
        </w:rPr>
        <w:t xml:space="preserve"> Australia, Bahrain, China, Dubai, Kazakhstan, </w:t>
      </w:r>
      <w:r>
        <w:rPr>
          <w:rFonts w:ascii="Open Sans" w:hAnsi="Open Sans" w:cs="Open Sans"/>
          <w:color w:val="000000"/>
          <w:szCs w:val="27"/>
        </w:rPr>
        <w:t xml:space="preserve">Luxembourg, </w:t>
      </w:r>
      <w:r w:rsidRPr="008C216B">
        <w:rPr>
          <w:rFonts w:ascii="Open Sans" w:hAnsi="Open Sans" w:cs="Open Sans"/>
          <w:color w:val="000000"/>
          <w:szCs w:val="27"/>
        </w:rPr>
        <w:t xml:space="preserve">New Zealand, Republic of Ireland, Saudi Arabia, Thailand, Turkey, United Kingdom, Uruguay and USA. </w:t>
      </w:r>
    </w:p>
    <w:p w:rsidR="00643282" w:rsidRDefault="00643282" w:rsidP="00643282">
      <w:pPr>
        <w:rPr>
          <w:sz w:val="24"/>
        </w:rPr>
      </w:pPr>
      <w:r w:rsidRPr="003E06BD">
        <w:rPr>
          <w:sz w:val="24"/>
        </w:rPr>
        <w:t xml:space="preserve">Further information about the Higher Education Academy is available on our website: </w:t>
      </w:r>
      <w:hyperlink r:id="rId10" w:history="1">
        <w:r w:rsidRPr="003E06BD">
          <w:rPr>
            <w:rStyle w:val="a5"/>
            <w:sz w:val="24"/>
          </w:rPr>
          <w:t>www.heacademy.ac.uk</w:t>
        </w:r>
      </w:hyperlink>
    </w:p>
    <w:p w:rsidR="00643282" w:rsidRDefault="00643282" w:rsidP="00643282">
      <w:pPr>
        <w:rPr>
          <w:sz w:val="24"/>
        </w:rPr>
      </w:pPr>
    </w:p>
    <w:p w:rsidR="00643282" w:rsidRDefault="00643282" w:rsidP="00643282">
      <w:pPr>
        <w:rPr>
          <w:sz w:val="24"/>
        </w:rPr>
      </w:pPr>
    </w:p>
    <w:p w:rsidR="00643282" w:rsidRDefault="00643282" w:rsidP="00643282">
      <w:pPr>
        <w:rPr>
          <w:sz w:val="24"/>
        </w:rPr>
      </w:pPr>
    </w:p>
    <w:p w:rsidR="00643282" w:rsidRDefault="00643282" w:rsidP="00643282">
      <w:pPr>
        <w:rPr>
          <w:sz w:val="24"/>
        </w:rPr>
      </w:pPr>
    </w:p>
    <w:p w:rsidR="00F533AF" w:rsidRPr="00F533AF" w:rsidRDefault="00F533AF" w:rsidP="00F533AF">
      <w:pPr>
        <w:keepNext/>
        <w:keepLines/>
        <w:outlineLvl w:val="0"/>
        <w:rPr>
          <w:rFonts w:eastAsiaTheme="majorEastAsia" w:cstheme="majorBidi"/>
          <w:b/>
          <w:bCs/>
          <w:color w:val="FFA146"/>
          <w:sz w:val="32"/>
          <w:szCs w:val="28"/>
        </w:rPr>
      </w:pPr>
      <w:r w:rsidRPr="00F533AF">
        <w:rPr>
          <w:rFonts w:eastAsiaTheme="majorEastAsia" w:cstheme="majorBidi"/>
          <w:b/>
          <w:bCs/>
          <w:color w:val="FFA146"/>
          <w:sz w:val="32"/>
          <w:szCs w:val="28"/>
        </w:rPr>
        <w:lastRenderedPageBreak/>
        <w:t>The Higher Education Academy and the Teaching Excellence Framework</w:t>
      </w:r>
    </w:p>
    <w:p w:rsidR="00F533AF" w:rsidRPr="00F533AF" w:rsidRDefault="00F533AF" w:rsidP="00F533AF">
      <w:pPr>
        <w:jc w:val="center"/>
        <w:rPr>
          <w:b/>
        </w:rPr>
      </w:pPr>
    </w:p>
    <w:p w:rsidR="00F533AF" w:rsidRPr="00F533AF" w:rsidRDefault="00F533AF" w:rsidP="00F533AF"/>
    <w:p w:rsidR="00F533AF" w:rsidRPr="00F533AF" w:rsidRDefault="00F533AF" w:rsidP="00F533AF">
      <w:pPr>
        <w:keepNext/>
        <w:keepLines/>
        <w:outlineLvl w:val="1"/>
        <w:rPr>
          <w:rFonts w:eastAsiaTheme="majorEastAsia" w:cstheme="majorBidi"/>
          <w:b/>
          <w:bCs/>
          <w:color w:val="FFA146"/>
          <w:sz w:val="28"/>
          <w:szCs w:val="26"/>
        </w:rPr>
      </w:pPr>
      <w:r w:rsidRPr="00F533AF">
        <w:rPr>
          <w:rFonts w:eastAsiaTheme="majorEastAsia" w:cstheme="majorBidi"/>
          <w:b/>
          <w:bCs/>
          <w:color w:val="FFA146"/>
          <w:sz w:val="28"/>
          <w:szCs w:val="26"/>
        </w:rPr>
        <w:t>1.</w:t>
      </w:r>
      <w:r w:rsidRPr="00F533AF">
        <w:rPr>
          <w:rFonts w:eastAsiaTheme="majorEastAsia" w:cstheme="majorBidi"/>
          <w:b/>
          <w:bCs/>
          <w:color w:val="FFA146"/>
          <w:sz w:val="28"/>
          <w:szCs w:val="26"/>
        </w:rPr>
        <w:tab/>
        <w:t>Introduction</w:t>
      </w:r>
    </w:p>
    <w:p w:rsidR="00F533AF" w:rsidRPr="00F533AF" w:rsidRDefault="00F533AF" w:rsidP="00F533AF">
      <w:pPr>
        <w:ind w:left="720"/>
        <w:rPr>
          <w:b/>
        </w:rPr>
      </w:pPr>
    </w:p>
    <w:p w:rsidR="00F533AF" w:rsidRPr="00F533AF" w:rsidRDefault="00F533AF" w:rsidP="00F533AF">
      <w:r w:rsidRPr="00F533AF">
        <w:t>Jo Johnson, then Minister for Universities and Science, announced in July 2015, the UK government’s intention to develop a Teaching Excellence Framework (TEF). Its key aims included the identification and encouragement of excellent teaching for all students and equal status for teaching and research.  As the body championing teaching excellence in the UK, the Higher Education Academy warmly welcomed the proposal and has contributed extensively to the development of the framework.</w:t>
      </w:r>
    </w:p>
    <w:p w:rsidR="00F533AF" w:rsidRPr="00F533AF" w:rsidRDefault="00F533AF" w:rsidP="00F533AF"/>
    <w:p w:rsidR="00F533AF" w:rsidRPr="00F533AF" w:rsidRDefault="00F533AF" w:rsidP="00F533AF">
      <w:pPr>
        <w:keepNext/>
        <w:keepLines/>
        <w:outlineLvl w:val="1"/>
        <w:rPr>
          <w:rFonts w:eastAsiaTheme="majorEastAsia" w:cstheme="majorBidi"/>
          <w:b/>
          <w:bCs/>
          <w:color w:val="FFA146"/>
          <w:sz w:val="28"/>
          <w:szCs w:val="26"/>
        </w:rPr>
      </w:pPr>
      <w:r w:rsidRPr="00F533AF">
        <w:rPr>
          <w:rFonts w:eastAsiaTheme="majorEastAsia" w:cstheme="majorBidi"/>
          <w:b/>
          <w:bCs/>
          <w:color w:val="FFA146"/>
          <w:sz w:val="28"/>
          <w:szCs w:val="26"/>
        </w:rPr>
        <w:t>2.</w:t>
      </w:r>
      <w:r w:rsidRPr="00F533AF">
        <w:rPr>
          <w:rFonts w:eastAsiaTheme="majorEastAsia" w:cstheme="majorBidi"/>
          <w:b/>
          <w:bCs/>
          <w:color w:val="FFA146"/>
          <w:sz w:val="28"/>
          <w:szCs w:val="26"/>
        </w:rPr>
        <w:tab/>
        <w:t>The HEA and the development of the TEF</w:t>
      </w:r>
    </w:p>
    <w:p w:rsidR="00F533AF" w:rsidRPr="00F533AF" w:rsidRDefault="00F533AF" w:rsidP="00F533AF">
      <w:pPr>
        <w:rPr>
          <w:b/>
        </w:rPr>
      </w:pPr>
    </w:p>
    <w:p w:rsidR="00F533AF" w:rsidRPr="00F533AF" w:rsidRDefault="00F533AF" w:rsidP="00F533AF">
      <w:r w:rsidRPr="00F533AF">
        <w:t>In many ways, the HEA has paved the way for the TEF since its creation in 2005 by promoting the enhancement of teaching and learning by:</w:t>
      </w:r>
    </w:p>
    <w:p w:rsidR="00F533AF" w:rsidRPr="00F533AF" w:rsidRDefault="00F533AF" w:rsidP="00F533AF"/>
    <w:p w:rsidR="00F533AF" w:rsidRPr="00F533AF" w:rsidRDefault="00F533AF" w:rsidP="00F533AF">
      <w:pPr>
        <w:numPr>
          <w:ilvl w:val="0"/>
          <w:numId w:val="33"/>
        </w:numPr>
        <w:contextualSpacing/>
        <w:rPr>
          <w:szCs w:val="22"/>
        </w:rPr>
      </w:pPr>
      <w:r w:rsidRPr="00F533AF">
        <w:t>Devising and managing the UK Professional Standards Framework, the</w:t>
      </w:r>
      <w:r w:rsidRPr="00F533AF">
        <w:rPr>
          <w:rFonts w:cs="Open Sans"/>
          <w:sz w:val="20"/>
          <w:szCs w:val="20"/>
          <w:lang w:val="en"/>
        </w:rPr>
        <w:t xml:space="preserve"> </w:t>
      </w:r>
      <w:r w:rsidRPr="00F533AF">
        <w:rPr>
          <w:rFonts w:cs="Open Sans"/>
          <w:szCs w:val="22"/>
          <w:lang w:val="en"/>
        </w:rPr>
        <w:t>internationally-recognised</w:t>
      </w:r>
      <w:r w:rsidRPr="00F533AF">
        <w:rPr>
          <w:rFonts w:cs="Open Sans"/>
          <w:sz w:val="20"/>
          <w:szCs w:val="20"/>
          <w:lang w:val="en"/>
        </w:rPr>
        <w:t xml:space="preserve"> </w:t>
      </w:r>
      <w:r w:rsidRPr="00F533AF">
        <w:rPr>
          <w:rFonts w:cs="Open Sans"/>
          <w:szCs w:val="22"/>
          <w:lang w:val="en"/>
        </w:rPr>
        <w:t>set of professional standards and guidelines for everyone involved in teaching and supporting learning in HE. The HEA accredits personal development programmes at individual or institutional level to improve teaching quality against this framework.</w:t>
      </w:r>
    </w:p>
    <w:p w:rsidR="00F533AF" w:rsidRPr="00F533AF" w:rsidRDefault="00F533AF" w:rsidP="00F533AF">
      <w:pPr>
        <w:numPr>
          <w:ilvl w:val="0"/>
          <w:numId w:val="33"/>
        </w:numPr>
        <w:contextualSpacing/>
        <w:rPr>
          <w:szCs w:val="22"/>
        </w:rPr>
      </w:pPr>
      <w:r w:rsidRPr="00F533AF">
        <w:rPr>
          <w:rFonts w:cs="Open Sans"/>
          <w:szCs w:val="22"/>
          <w:lang w:val="en"/>
        </w:rPr>
        <w:t>Sponsoring and disseminating research into the most effective methods of enhancing teaching and learning. This has included research into particular pedagogic practice (e.g. student engagement), reward and recognition of excellent teachers, and defining teaching excellence.</w:t>
      </w:r>
    </w:p>
    <w:p w:rsidR="00F533AF" w:rsidRPr="00F533AF" w:rsidRDefault="00F533AF" w:rsidP="00F533AF">
      <w:pPr>
        <w:numPr>
          <w:ilvl w:val="0"/>
          <w:numId w:val="33"/>
        </w:numPr>
        <w:contextualSpacing/>
        <w:rPr>
          <w:szCs w:val="22"/>
        </w:rPr>
      </w:pPr>
      <w:r w:rsidRPr="00F533AF">
        <w:rPr>
          <w:rFonts w:cs="Open Sans"/>
          <w:szCs w:val="22"/>
          <w:lang w:val="en"/>
        </w:rPr>
        <w:t>By administering (since 2005) the National Teaching Fellowship Scheme which identifies and rewards 55 excellent teachers each year.</w:t>
      </w:r>
    </w:p>
    <w:p w:rsidR="00F533AF" w:rsidRPr="00F533AF" w:rsidRDefault="00F533AF" w:rsidP="00F533AF">
      <w:pPr>
        <w:rPr>
          <w:szCs w:val="22"/>
        </w:rPr>
      </w:pPr>
    </w:p>
    <w:p w:rsidR="00F533AF" w:rsidRPr="00F533AF" w:rsidRDefault="00F533AF" w:rsidP="00F533AF">
      <w:pPr>
        <w:rPr>
          <w:szCs w:val="22"/>
        </w:rPr>
      </w:pPr>
      <w:r w:rsidRPr="00F533AF">
        <w:rPr>
          <w:szCs w:val="22"/>
        </w:rPr>
        <w:t xml:space="preserve">Since the announcement in July 2015, the HEA has contributed very directly to the development of the TEF by means of: </w:t>
      </w:r>
    </w:p>
    <w:p w:rsidR="00F533AF" w:rsidRPr="00F533AF" w:rsidRDefault="00F533AF" w:rsidP="00F533AF">
      <w:pPr>
        <w:rPr>
          <w:szCs w:val="22"/>
        </w:rPr>
      </w:pPr>
    </w:p>
    <w:p w:rsidR="00F533AF" w:rsidRPr="00F533AF" w:rsidRDefault="00F533AF" w:rsidP="00F533AF">
      <w:pPr>
        <w:numPr>
          <w:ilvl w:val="0"/>
          <w:numId w:val="34"/>
        </w:numPr>
        <w:contextualSpacing/>
        <w:rPr>
          <w:szCs w:val="22"/>
        </w:rPr>
      </w:pPr>
      <w:r w:rsidRPr="00F533AF">
        <w:rPr>
          <w:szCs w:val="22"/>
        </w:rPr>
        <w:t>The secondment of senior sHEA taff to the Department for Business, Innovation and Skills (DBIS), the government department charged with the design of the TEF</w:t>
      </w:r>
    </w:p>
    <w:p w:rsidR="00F533AF" w:rsidRPr="00F533AF" w:rsidRDefault="00F533AF" w:rsidP="00F533AF">
      <w:pPr>
        <w:numPr>
          <w:ilvl w:val="0"/>
          <w:numId w:val="34"/>
        </w:numPr>
        <w:contextualSpacing/>
        <w:rPr>
          <w:szCs w:val="22"/>
        </w:rPr>
      </w:pPr>
      <w:r w:rsidRPr="00F533AF">
        <w:rPr>
          <w:szCs w:val="22"/>
        </w:rPr>
        <w:t>The involvement of the HEA’s Chief Executive (Professor Stephanie Marshall) in the TEF Delivery Group, which has strategic oversight of the design and implementation of the TEF, and of the HEA’s Head of Special Projects in the TEF Working Group, which has developed the structure of the scheme.</w:t>
      </w:r>
    </w:p>
    <w:p w:rsidR="00F533AF" w:rsidRPr="00F533AF" w:rsidRDefault="00F533AF" w:rsidP="00F533AF">
      <w:pPr>
        <w:numPr>
          <w:ilvl w:val="0"/>
          <w:numId w:val="34"/>
        </w:numPr>
        <w:contextualSpacing/>
        <w:rPr>
          <w:szCs w:val="22"/>
        </w:rPr>
      </w:pPr>
      <w:r w:rsidRPr="00F533AF">
        <w:rPr>
          <w:szCs w:val="22"/>
        </w:rPr>
        <w:t xml:space="preserve">The HEA’s academic networks. The working group of Pro-Vice Chancellors (Learning and Teaching) has met officials from DBIS (now the Department for Education - DfE) on three occasions to provide feedback on emergent proposals on the </w:t>
      </w:r>
      <w:r w:rsidRPr="00F533AF">
        <w:rPr>
          <w:i/>
          <w:szCs w:val="22"/>
        </w:rPr>
        <w:t>institutional-level</w:t>
      </w:r>
      <w:r w:rsidRPr="00F533AF">
        <w:rPr>
          <w:szCs w:val="22"/>
        </w:rPr>
        <w:t xml:space="preserve"> assessment of teaching excellence currently being conducted.  A summit conference involving Deans from across the curriculum met with DfE officials to discuss the potential transition to a </w:t>
      </w:r>
      <w:r w:rsidRPr="00F533AF">
        <w:rPr>
          <w:i/>
          <w:szCs w:val="22"/>
        </w:rPr>
        <w:t>discipline-level</w:t>
      </w:r>
      <w:r w:rsidRPr="00F533AF">
        <w:rPr>
          <w:szCs w:val="22"/>
        </w:rPr>
        <w:t xml:space="preserve"> assessment planned for next year.</w:t>
      </w:r>
    </w:p>
    <w:p w:rsidR="00F533AF" w:rsidRPr="00F533AF" w:rsidRDefault="00F533AF" w:rsidP="00F533AF">
      <w:pPr>
        <w:numPr>
          <w:ilvl w:val="0"/>
          <w:numId w:val="34"/>
        </w:numPr>
        <w:contextualSpacing/>
        <w:rPr>
          <w:szCs w:val="22"/>
        </w:rPr>
      </w:pPr>
      <w:r w:rsidRPr="00F533AF">
        <w:rPr>
          <w:szCs w:val="22"/>
        </w:rPr>
        <w:t xml:space="preserve">Written submissions to the government’s consultation on its proposals. </w:t>
      </w:r>
    </w:p>
    <w:p w:rsidR="00995F46" w:rsidRPr="00F533AF" w:rsidRDefault="00995F46" w:rsidP="008F44FE"/>
    <w:sectPr w:rsidR="00995F46" w:rsidRPr="00F533AF" w:rsidSect="00266006">
      <w:footerReference w:type="default" r:id="rId11"/>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2624" w:rsidRDefault="00402624" w:rsidP="00D0127E">
      <w:r>
        <w:separator/>
      </w:r>
    </w:p>
  </w:endnote>
  <w:endnote w:type="continuationSeparator" w:id="0">
    <w:p w:rsidR="00402624" w:rsidRDefault="00402624" w:rsidP="00D01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Open Sans">
    <w:altName w:val="Tahoma"/>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1820022"/>
      <w:docPartObj>
        <w:docPartGallery w:val="Page Numbers (Bottom of Page)"/>
        <w:docPartUnique/>
      </w:docPartObj>
    </w:sdtPr>
    <w:sdtEndPr>
      <w:rPr>
        <w:noProof/>
      </w:rPr>
    </w:sdtEndPr>
    <w:sdtContent>
      <w:p w:rsidR="00D0127E" w:rsidRDefault="00D0127E">
        <w:pPr>
          <w:pStyle w:val="a8"/>
          <w:jc w:val="right"/>
        </w:pPr>
        <w:r>
          <w:fldChar w:fldCharType="begin"/>
        </w:r>
        <w:r>
          <w:instrText xml:space="preserve"> PAGE   \* MERGEFORMAT </w:instrText>
        </w:r>
        <w:r>
          <w:fldChar w:fldCharType="separate"/>
        </w:r>
        <w:r w:rsidR="007B6B11">
          <w:rPr>
            <w:noProof/>
          </w:rPr>
          <w:t>2</w:t>
        </w:r>
        <w:r>
          <w:rPr>
            <w:noProof/>
          </w:rPr>
          <w:fldChar w:fldCharType="end"/>
        </w:r>
      </w:p>
    </w:sdtContent>
  </w:sdt>
  <w:p w:rsidR="00D0127E" w:rsidRDefault="00D0127E">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2624" w:rsidRDefault="00402624" w:rsidP="00D0127E">
      <w:r>
        <w:separator/>
      </w:r>
    </w:p>
  </w:footnote>
  <w:footnote w:type="continuationSeparator" w:id="0">
    <w:p w:rsidR="00402624" w:rsidRDefault="00402624" w:rsidP="00D0127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C10ECA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4E0132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33858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9B2192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9628D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9A861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9B4B0E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40CF9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700B1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66666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7441C"/>
    <w:multiLevelType w:val="hybridMultilevel"/>
    <w:tmpl w:val="63D8C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88C07DD"/>
    <w:multiLevelType w:val="hybridMultilevel"/>
    <w:tmpl w:val="9132BE16"/>
    <w:lvl w:ilvl="0" w:tplc="08090001">
      <w:start w:val="1"/>
      <w:numFmt w:val="bullet"/>
      <w:lvlText w:val=""/>
      <w:lvlJc w:val="left"/>
      <w:pPr>
        <w:ind w:left="6480" w:hanging="360"/>
      </w:pPr>
      <w:rPr>
        <w:rFonts w:ascii="Symbol" w:hAnsi="Symbol" w:hint="default"/>
      </w:rPr>
    </w:lvl>
    <w:lvl w:ilvl="1" w:tplc="08090003" w:tentative="1">
      <w:start w:val="1"/>
      <w:numFmt w:val="bullet"/>
      <w:lvlText w:val="o"/>
      <w:lvlJc w:val="left"/>
      <w:pPr>
        <w:ind w:left="7200" w:hanging="360"/>
      </w:pPr>
      <w:rPr>
        <w:rFonts w:ascii="Courier New" w:hAnsi="Courier New" w:cs="Courier New" w:hint="default"/>
      </w:rPr>
    </w:lvl>
    <w:lvl w:ilvl="2" w:tplc="08090005" w:tentative="1">
      <w:start w:val="1"/>
      <w:numFmt w:val="bullet"/>
      <w:lvlText w:val=""/>
      <w:lvlJc w:val="left"/>
      <w:pPr>
        <w:ind w:left="7920" w:hanging="360"/>
      </w:pPr>
      <w:rPr>
        <w:rFonts w:ascii="Wingdings" w:hAnsi="Wingdings" w:hint="default"/>
      </w:rPr>
    </w:lvl>
    <w:lvl w:ilvl="3" w:tplc="08090001" w:tentative="1">
      <w:start w:val="1"/>
      <w:numFmt w:val="bullet"/>
      <w:lvlText w:val=""/>
      <w:lvlJc w:val="left"/>
      <w:pPr>
        <w:ind w:left="8640" w:hanging="360"/>
      </w:pPr>
      <w:rPr>
        <w:rFonts w:ascii="Symbol" w:hAnsi="Symbol" w:hint="default"/>
      </w:rPr>
    </w:lvl>
    <w:lvl w:ilvl="4" w:tplc="08090003" w:tentative="1">
      <w:start w:val="1"/>
      <w:numFmt w:val="bullet"/>
      <w:lvlText w:val="o"/>
      <w:lvlJc w:val="left"/>
      <w:pPr>
        <w:ind w:left="9360" w:hanging="360"/>
      </w:pPr>
      <w:rPr>
        <w:rFonts w:ascii="Courier New" w:hAnsi="Courier New" w:cs="Courier New" w:hint="default"/>
      </w:rPr>
    </w:lvl>
    <w:lvl w:ilvl="5" w:tplc="08090005" w:tentative="1">
      <w:start w:val="1"/>
      <w:numFmt w:val="bullet"/>
      <w:lvlText w:val=""/>
      <w:lvlJc w:val="left"/>
      <w:pPr>
        <w:ind w:left="10080" w:hanging="360"/>
      </w:pPr>
      <w:rPr>
        <w:rFonts w:ascii="Wingdings" w:hAnsi="Wingdings" w:hint="default"/>
      </w:rPr>
    </w:lvl>
    <w:lvl w:ilvl="6" w:tplc="08090001" w:tentative="1">
      <w:start w:val="1"/>
      <w:numFmt w:val="bullet"/>
      <w:lvlText w:val=""/>
      <w:lvlJc w:val="left"/>
      <w:pPr>
        <w:ind w:left="10800" w:hanging="360"/>
      </w:pPr>
      <w:rPr>
        <w:rFonts w:ascii="Symbol" w:hAnsi="Symbol" w:hint="default"/>
      </w:rPr>
    </w:lvl>
    <w:lvl w:ilvl="7" w:tplc="08090003" w:tentative="1">
      <w:start w:val="1"/>
      <w:numFmt w:val="bullet"/>
      <w:lvlText w:val="o"/>
      <w:lvlJc w:val="left"/>
      <w:pPr>
        <w:ind w:left="11520" w:hanging="360"/>
      </w:pPr>
      <w:rPr>
        <w:rFonts w:ascii="Courier New" w:hAnsi="Courier New" w:cs="Courier New" w:hint="default"/>
      </w:rPr>
    </w:lvl>
    <w:lvl w:ilvl="8" w:tplc="08090005" w:tentative="1">
      <w:start w:val="1"/>
      <w:numFmt w:val="bullet"/>
      <w:lvlText w:val=""/>
      <w:lvlJc w:val="left"/>
      <w:pPr>
        <w:ind w:left="12240" w:hanging="360"/>
      </w:pPr>
      <w:rPr>
        <w:rFonts w:ascii="Wingdings" w:hAnsi="Wingdings" w:hint="default"/>
      </w:rPr>
    </w:lvl>
  </w:abstractNum>
  <w:abstractNum w:abstractNumId="12" w15:restartNumberingAfterBreak="0">
    <w:nsid w:val="0B1378A4"/>
    <w:multiLevelType w:val="hybridMultilevel"/>
    <w:tmpl w:val="DCEA9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DEE1F6A"/>
    <w:multiLevelType w:val="hybridMultilevel"/>
    <w:tmpl w:val="DB18A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1174CC9"/>
    <w:multiLevelType w:val="hybridMultilevel"/>
    <w:tmpl w:val="5C3A861E"/>
    <w:lvl w:ilvl="0" w:tplc="25689248">
      <w:start w:val="1"/>
      <w:numFmt w:val="bullet"/>
      <w:pStyle w:val="HEABulletPoints"/>
      <w:lvlText w:val=""/>
      <w:lvlJc w:val="left"/>
      <w:pPr>
        <w:ind w:left="720" w:hanging="360"/>
      </w:pPr>
      <w:rPr>
        <w:rFonts w:ascii="Symbol" w:hAnsi="Symbol" w:hint="default"/>
        <w:color w:val="FFA1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42F79F8"/>
    <w:multiLevelType w:val="hybridMultilevel"/>
    <w:tmpl w:val="3FF053B6"/>
    <w:lvl w:ilvl="0" w:tplc="4E6AAB68">
      <w:start w:val="1"/>
      <w:numFmt w:val="decimal"/>
      <w:pStyle w:val="HEANumberings"/>
      <w:lvlText w:val="%1."/>
      <w:lvlJc w:val="left"/>
      <w:pPr>
        <w:ind w:left="720" w:hanging="360"/>
      </w:pPr>
      <w:rPr>
        <w:rFonts w:hint="default"/>
        <w:color w:val="FFA14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54B1A80"/>
    <w:multiLevelType w:val="hybridMultilevel"/>
    <w:tmpl w:val="9C74A8EA"/>
    <w:lvl w:ilvl="0" w:tplc="5976909A">
      <w:start w:val="1"/>
      <w:numFmt w:val="decimal"/>
      <w:lvlText w:val="%1."/>
      <w:lvlJc w:val="left"/>
      <w:pPr>
        <w:ind w:left="720" w:hanging="360"/>
      </w:pPr>
      <w:rPr>
        <w:rFonts w:ascii="Gill Sans MT" w:hAnsi="Gill Sans MT" w:hint="default"/>
        <w:color w:val="007AA6"/>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9BE435B"/>
    <w:multiLevelType w:val="hybridMultilevel"/>
    <w:tmpl w:val="8D581306"/>
    <w:lvl w:ilvl="0" w:tplc="5976909A">
      <w:start w:val="1"/>
      <w:numFmt w:val="decimal"/>
      <w:lvlText w:val="%1."/>
      <w:lvlJc w:val="left"/>
      <w:pPr>
        <w:ind w:left="720" w:hanging="360"/>
      </w:pPr>
      <w:rPr>
        <w:rFonts w:ascii="Gill Sans MT" w:hAnsi="Gill Sans MT" w:hint="default"/>
        <w:color w:val="007AA6"/>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9D70F19"/>
    <w:multiLevelType w:val="hybridMultilevel"/>
    <w:tmpl w:val="DEA2830A"/>
    <w:lvl w:ilvl="0" w:tplc="5976909A">
      <w:start w:val="1"/>
      <w:numFmt w:val="decimal"/>
      <w:lvlText w:val="%1."/>
      <w:lvlJc w:val="left"/>
      <w:pPr>
        <w:ind w:left="720" w:hanging="360"/>
      </w:pPr>
      <w:rPr>
        <w:rFonts w:ascii="Gill Sans MT" w:hAnsi="Gill Sans MT" w:hint="default"/>
        <w:color w:val="007AA6"/>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5EE2701"/>
    <w:multiLevelType w:val="hybridMultilevel"/>
    <w:tmpl w:val="294A4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94622F"/>
    <w:multiLevelType w:val="hybridMultilevel"/>
    <w:tmpl w:val="EEBA1C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552D51"/>
    <w:multiLevelType w:val="hybridMultilevel"/>
    <w:tmpl w:val="719274E0"/>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2" w15:restartNumberingAfterBreak="0">
    <w:nsid w:val="4FEC5B7B"/>
    <w:multiLevelType w:val="hybridMultilevel"/>
    <w:tmpl w:val="A3321D42"/>
    <w:lvl w:ilvl="0" w:tplc="631CBD10">
      <w:start w:val="1"/>
      <w:numFmt w:val="decimal"/>
      <w:pStyle w:val="Numbering"/>
      <w:lvlText w:val="%1."/>
      <w:lvlJc w:val="left"/>
      <w:pPr>
        <w:ind w:left="720" w:hanging="360"/>
      </w:pPr>
      <w:rPr>
        <w:rFonts w:ascii="Gill Sans MT" w:hAnsi="Gill Sans MT" w:hint="default"/>
        <w:color w:val="007AA6"/>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0325163"/>
    <w:multiLevelType w:val="hybridMultilevel"/>
    <w:tmpl w:val="201C3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9A3901"/>
    <w:multiLevelType w:val="hybridMultilevel"/>
    <w:tmpl w:val="B596B3E4"/>
    <w:lvl w:ilvl="0" w:tplc="C164B378">
      <w:start w:val="1"/>
      <w:numFmt w:val="bullet"/>
      <w:pStyle w:val="HEABulletpoints0"/>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B65182"/>
    <w:multiLevelType w:val="hybridMultilevel"/>
    <w:tmpl w:val="7F0E9894"/>
    <w:lvl w:ilvl="0" w:tplc="5976909A">
      <w:start w:val="1"/>
      <w:numFmt w:val="decimal"/>
      <w:lvlText w:val="%1."/>
      <w:lvlJc w:val="left"/>
      <w:pPr>
        <w:ind w:left="720" w:hanging="360"/>
      </w:pPr>
      <w:rPr>
        <w:rFonts w:ascii="Gill Sans MT" w:hAnsi="Gill Sans MT" w:hint="default"/>
        <w:color w:val="007AA6"/>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1A846CB"/>
    <w:multiLevelType w:val="hybridMultilevel"/>
    <w:tmpl w:val="41F268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592B5B"/>
    <w:multiLevelType w:val="hybridMultilevel"/>
    <w:tmpl w:val="D4565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833B67"/>
    <w:multiLevelType w:val="hybridMultilevel"/>
    <w:tmpl w:val="4E768F54"/>
    <w:lvl w:ilvl="0" w:tplc="256AA854">
      <w:start w:val="1"/>
      <w:numFmt w:val="bullet"/>
      <w:pStyle w:val="HEABullets"/>
      <w:lvlText w:val=""/>
      <w:lvlJc w:val="left"/>
      <w:pPr>
        <w:ind w:left="720" w:hanging="360"/>
      </w:pPr>
      <w:rPr>
        <w:rFonts w:ascii="Symbol" w:hAnsi="Symbol" w:hint="default"/>
        <w:color w:val="007AA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B36B2F"/>
    <w:multiLevelType w:val="hybridMultilevel"/>
    <w:tmpl w:val="6F56B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073FFA"/>
    <w:multiLevelType w:val="hybridMultilevel"/>
    <w:tmpl w:val="23CCB0A6"/>
    <w:lvl w:ilvl="0" w:tplc="4E9E576C">
      <w:start w:val="1"/>
      <w:numFmt w:val="decimal"/>
      <w:pStyle w:val="HEANumber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4A10794"/>
    <w:multiLevelType w:val="hybridMultilevel"/>
    <w:tmpl w:val="D2B2A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164E2D"/>
    <w:multiLevelType w:val="hybridMultilevel"/>
    <w:tmpl w:val="909E98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97C4F60"/>
    <w:multiLevelType w:val="hybridMultilevel"/>
    <w:tmpl w:val="A1AAA7FC"/>
    <w:lvl w:ilvl="0" w:tplc="5976909A">
      <w:start w:val="1"/>
      <w:numFmt w:val="decimal"/>
      <w:lvlText w:val="%1."/>
      <w:lvlJc w:val="left"/>
      <w:pPr>
        <w:ind w:left="720" w:hanging="360"/>
      </w:pPr>
      <w:rPr>
        <w:rFonts w:ascii="Gill Sans MT" w:hAnsi="Gill Sans MT" w:hint="default"/>
        <w:color w:val="007AA6"/>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28"/>
  </w:num>
  <w:num w:numId="3">
    <w:abstractNumId w:val="16"/>
  </w:num>
  <w:num w:numId="4">
    <w:abstractNumId w:val="33"/>
  </w:num>
  <w:num w:numId="5">
    <w:abstractNumId w:val="25"/>
  </w:num>
  <w:num w:numId="6">
    <w:abstractNumId w:val="18"/>
  </w:num>
  <w:num w:numId="7">
    <w:abstractNumId w:val="17"/>
  </w:num>
  <w:num w:numId="8">
    <w:abstractNumId w:val="9"/>
  </w:num>
  <w:num w:numId="9">
    <w:abstractNumId w:val="8"/>
  </w:num>
  <w:num w:numId="10">
    <w:abstractNumId w:val="7"/>
  </w:num>
  <w:num w:numId="11">
    <w:abstractNumId w:val="6"/>
  </w:num>
  <w:num w:numId="12">
    <w:abstractNumId w:val="5"/>
  </w:num>
  <w:num w:numId="13">
    <w:abstractNumId w:val="4"/>
  </w:num>
  <w:num w:numId="14">
    <w:abstractNumId w:val="3"/>
  </w:num>
  <w:num w:numId="15">
    <w:abstractNumId w:val="2"/>
  </w:num>
  <w:num w:numId="16">
    <w:abstractNumId w:val="1"/>
  </w:num>
  <w:num w:numId="17">
    <w:abstractNumId w:val="0"/>
  </w:num>
  <w:num w:numId="18">
    <w:abstractNumId w:val="22"/>
  </w:num>
  <w:num w:numId="19">
    <w:abstractNumId w:val="24"/>
  </w:num>
  <w:num w:numId="20">
    <w:abstractNumId w:val="32"/>
  </w:num>
  <w:num w:numId="21">
    <w:abstractNumId w:val="30"/>
  </w:num>
  <w:num w:numId="22">
    <w:abstractNumId w:val="14"/>
  </w:num>
  <w:num w:numId="23">
    <w:abstractNumId w:val="15"/>
  </w:num>
  <w:num w:numId="24">
    <w:abstractNumId w:val="27"/>
  </w:num>
  <w:num w:numId="25">
    <w:abstractNumId w:val="10"/>
  </w:num>
  <w:num w:numId="26">
    <w:abstractNumId w:val="29"/>
  </w:num>
  <w:num w:numId="27">
    <w:abstractNumId w:val="19"/>
  </w:num>
  <w:num w:numId="28">
    <w:abstractNumId w:val="21"/>
  </w:num>
  <w:num w:numId="29">
    <w:abstractNumId w:val="11"/>
  </w:num>
  <w:num w:numId="30">
    <w:abstractNumId w:val="13"/>
  </w:num>
  <w:num w:numId="31">
    <w:abstractNumId w:val="26"/>
  </w:num>
  <w:num w:numId="32">
    <w:abstractNumId w:val="20"/>
  </w:num>
  <w:num w:numId="33">
    <w:abstractNumId w:val="31"/>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bordersDoNotSurroundHeader/>
  <w:bordersDoNotSurroundFooter/>
  <w:stylePaneFormatFilter w:val="5704" w:allStyles="0" w:customStyles="0" w:latentStyles="1" w:stylesInUse="0" w:headingStyles="0" w:numberingStyles="0" w:tableStyles="0" w:directFormattingOnRuns="1" w:directFormattingOnParagraphs="1" w:directFormattingOnNumbering="1" w:directFormattingOnTables="0" w:clearFormatting="1" w:top3HeadingStyles="0" w:visibleStyles="1" w:alternateStyleNames="0"/>
  <w:stylePaneSortMethod w:val="0003"/>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4FE"/>
    <w:rsid w:val="000707AF"/>
    <w:rsid w:val="000D050B"/>
    <w:rsid w:val="001A1D5F"/>
    <w:rsid w:val="001B7B37"/>
    <w:rsid w:val="00266006"/>
    <w:rsid w:val="002850B3"/>
    <w:rsid w:val="002E0611"/>
    <w:rsid w:val="00301648"/>
    <w:rsid w:val="00371387"/>
    <w:rsid w:val="00387AA0"/>
    <w:rsid w:val="00402624"/>
    <w:rsid w:val="00451FE4"/>
    <w:rsid w:val="00461E4D"/>
    <w:rsid w:val="006077BC"/>
    <w:rsid w:val="00616BB3"/>
    <w:rsid w:val="00643282"/>
    <w:rsid w:val="00643D21"/>
    <w:rsid w:val="00772859"/>
    <w:rsid w:val="007842E7"/>
    <w:rsid w:val="007B6B11"/>
    <w:rsid w:val="007C2740"/>
    <w:rsid w:val="00835208"/>
    <w:rsid w:val="008F44FE"/>
    <w:rsid w:val="009959EB"/>
    <w:rsid w:val="00995F46"/>
    <w:rsid w:val="009D2EBA"/>
    <w:rsid w:val="009D7DCD"/>
    <w:rsid w:val="009F3D8B"/>
    <w:rsid w:val="00A91398"/>
    <w:rsid w:val="00AF19B5"/>
    <w:rsid w:val="00B60A22"/>
    <w:rsid w:val="00B70010"/>
    <w:rsid w:val="00C201F5"/>
    <w:rsid w:val="00D0127E"/>
    <w:rsid w:val="00D16BFB"/>
    <w:rsid w:val="00E21906"/>
    <w:rsid w:val="00E22A30"/>
    <w:rsid w:val="00E4259B"/>
    <w:rsid w:val="00EC3F7F"/>
    <w:rsid w:val="00F01B92"/>
    <w:rsid w:val="00F4337D"/>
    <w:rsid w:val="00F533AF"/>
    <w:rsid w:val="00FE2DCF"/>
  </w:rsids>
  <m:mathPr>
    <m:mathFont m:val="Cambria Math"/>
    <m:brkBin m:val="before"/>
    <m:brkBinSub m:val="--"/>
    <m:smallFrac m:val="0"/>
    <m:dispDef m:val="0"/>
    <m:lMargin m:val="0"/>
    <m:rMargin m:val="0"/>
    <m:defJc m:val="centerGroup"/>
    <m:wrapRight/>
    <m:intLim m:val="subSup"/>
    <m:naryLim m:val="subSup"/>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499A53"/>
  <w15:docId w15:val="{0CE34ACA-8004-4B7E-8B12-C86545154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6BB3"/>
    <w:rPr>
      <w:rFonts w:ascii="Open Sans" w:hAnsi="Open Sans"/>
      <w:color w:val="000000" w:themeColor="text1"/>
      <w:sz w:val="22"/>
      <w:lang w:val="en-GB"/>
    </w:rPr>
  </w:style>
  <w:style w:type="paragraph" w:styleId="1">
    <w:name w:val="heading 1"/>
    <w:basedOn w:val="a"/>
    <w:next w:val="a"/>
    <w:link w:val="10"/>
    <w:uiPriority w:val="9"/>
    <w:qFormat/>
    <w:rsid w:val="00301648"/>
    <w:pPr>
      <w:keepNext/>
      <w:keepLines/>
      <w:outlineLvl w:val="0"/>
    </w:pPr>
    <w:rPr>
      <w:rFonts w:eastAsiaTheme="majorEastAsia" w:cstheme="majorBidi"/>
      <w:b/>
      <w:bCs/>
      <w:color w:val="FFA146"/>
      <w:sz w:val="32"/>
      <w:szCs w:val="28"/>
    </w:rPr>
  </w:style>
  <w:style w:type="paragraph" w:styleId="2">
    <w:name w:val="heading 2"/>
    <w:basedOn w:val="a"/>
    <w:next w:val="a"/>
    <w:link w:val="20"/>
    <w:uiPriority w:val="9"/>
    <w:unhideWhenUsed/>
    <w:qFormat/>
    <w:rsid w:val="00301648"/>
    <w:pPr>
      <w:keepNext/>
      <w:keepLines/>
      <w:outlineLvl w:val="1"/>
    </w:pPr>
    <w:rPr>
      <w:rFonts w:eastAsiaTheme="majorEastAsia" w:cstheme="majorBidi"/>
      <w:b/>
      <w:bCs/>
      <w:color w:val="FFA146"/>
      <w:sz w:val="28"/>
      <w:szCs w:val="26"/>
    </w:rPr>
  </w:style>
  <w:style w:type="paragraph" w:styleId="3">
    <w:name w:val="heading 3"/>
    <w:basedOn w:val="a"/>
    <w:next w:val="a"/>
    <w:link w:val="30"/>
    <w:uiPriority w:val="9"/>
    <w:unhideWhenUsed/>
    <w:qFormat/>
    <w:rsid w:val="00B70010"/>
    <w:pPr>
      <w:keepNext/>
      <w:keepLines/>
      <w:outlineLvl w:val="2"/>
    </w:pPr>
    <w:rPr>
      <w:rFonts w:eastAsiaTheme="majorEastAsia" w:cstheme="majorBidi"/>
      <w:b/>
      <w:bCs/>
    </w:rPr>
  </w:style>
  <w:style w:type="paragraph" w:styleId="4">
    <w:name w:val="heading 4"/>
    <w:basedOn w:val="a"/>
    <w:next w:val="a"/>
    <w:link w:val="40"/>
    <w:uiPriority w:val="9"/>
    <w:unhideWhenUsed/>
    <w:qFormat/>
    <w:rsid w:val="00B70010"/>
    <w:pPr>
      <w:keepNext/>
      <w:keepLines/>
      <w:spacing w:before="200"/>
      <w:outlineLvl w:val="3"/>
    </w:pPr>
    <w:rPr>
      <w:rFonts w:eastAsiaTheme="majorEastAsia" w:cstheme="majorBidi"/>
      <w:bCs/>
      <w:iCs/>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01648"/>
    <w:rPr>
      <w:rFonts w:ascii="Open Sans" w:eastAsiaTheme="majorEastAsia" w:hAnsi="Open Sans" w:cstheme="majorBidi"/>
      <w:b/>
      <w:bCs/>
      <w:color w:val="FFA146"/>
      <w:sz w:val="32"/>
      <w:szCs w:val="28"/>
      <w:lang w:val="en-GB"/>
    </w:rPr>
  </w:style>
  <w:style w:type="character" w:customStyle="1" w:styleId="20">
    <w:name w:val="标题 2 字符"/>
    <w:basedOn w:val="a0"/>
    <w:link w:val="2"/>
    <w:uiPriority w:val="9"/>
    <w:rsid w:val="00301648"/>
    <w:rPr>
      <w:rFonts w:ascii="Open Sans" w:eastAsiaTheme="majorEastAsia" w:hAnsi="Open Sans" w:cstheme="majorBidi"/>
      <w:b/>
      <w:bCs/>
      <w:color w:val="FFA146"/>
      <w:sz w:val="28"/>
      <w:szCs w:val="26"/>
      <w:lang w:val="en-GB"/>
    </w:rPr>
  </w:style>
  <w:style w:type="paragraph" w:styleId="a3">
    <w:name w:val="List Paragraph"/>
    <w:basedOn w:val="a"/>
    <w:link w:val="a4"/>
    <w:uiPriority w:val="34"/>
    <w:rsid w:val="00451FE4"/>
    <w:pPr>
      <w:ind w:left="720"/>
      <w:contextualSpacing/>
    </w:pPr>
  </w:style>
  <w:style w:type="paragraph" w:customStyle="1" w:styleId="HEABullets">
    <w:name w:val="HEA Bullets"/>
    <w:basedOn w:val="a"/>
    <w:rsid w:val="002E0611"/>
    <w:pPr>
      <w:numPr>
        <w:numId w:val="2"/>
      </w:numPr>
      <w:ind w:left="170" w:hanging="170"/>
    </w:pPr>
  </w:style>
  <w:style w:type="character" w:customStyle="1" w:styleId="30">
    <w:name w:val="标题 3 字符"/>
    <w:basedOn w:val="a0"/>
    <w:link w:val="3"/>
    <w:uiPriority w:val="9"/>
    <w:rsid w:val="00B70010"/>
    <w:rPr>
      <w:rFonts w:ascii="Gill Sans MT" w:eastAsiaTheme="majorEastAsia" w:hAnsi="Gill Sans MT" w:cstheme="majorBidi"/>
      <w:b/>
      <w:bCs/>
      <w:lang w:val="en-GB"/>
    </w:rPr>
  </w:style>
  <w:style w:type="character" w:customStyle="1" w:styleId="40">
    <w:name w:val="标题 4 字符"/>
    <w:basedOn w:val="a0"/>
    <w:link w:val="4"/>
    <w:uiPriority w:val="9"/>
    <w:rsid w:val="00B70010"/>
    <w:rPr>
      <w:rFonts w:ascii="Gill Sans MT" w:eastAsiaTheme="majorEastAsia" w:hAnsi="Gill Sans MT" w:cstheme="majorBidi"/>
      <w:bCs/>
      <w:iCs/>
      <w:u w:val="single"/>
      <w:lang w:val="en-GB"/>
    </w:rPr>
  </w:style>
  <w:style w:type="paragraph" w:customStyle="1" w:styleId="Numbering">
    <w:name w:val="Numbering"/>
    <w:basedOn w:val="a"/>
    <w:next w:val="a"/>
    <w:rsid w:val="00B60A22"/>
    <w:pPr>
      <w:numPr>
        <w:numId w:val="18"/>
      </w:numPr>
      <w:ind w:left="284" w:hanging="284"/>
    </w:pPr>
  </w:style>
  <w:style w:type="paragraph" w:customStyle="1" w:styleId="HEABulletpoints0">
    <w:name w:val="HEA Bulletpoints"/>
    <w:basedOn w:val="a3"/>
    <w:link w:val="HEABulletpointsChar"/>
    <w:rsid w:val="002E0611"/>
    <w:pPr>
      <w:numPr>
        <w:numId w:val="19"/>
      </w:numPr>
    </w:pPr>
  </w:style>
  <w:style w:type="paragraph" w:customStyle="1" w:styleId="HEANumbering">
    <w:name w:val="HEA Numbering"/>
    <w:basedOn w:val="a"/>
    <w:link w:val="HEANumberingChar"/>
    <w:rsid w:val="002E0611"/>
  </w:style>
  <w:style w:type="character" w:customStyle="1" w:styleId="a4">
    <w:name w:val="列出段落 字符"/>
    <w:basedOn w:val="a0"/>
    <w:link w:val="a3"/>
    <w:uiPriority w:val="34"/>
    <w:rsid w:val="002E0611"/>
    <w:rPr>
      <w:rFonts w:ascii="Open Sans" w:hAnsi="Open Sans"/>
      <w:color w:val="000000" w:themeColor="text1"/>
      <w:sz w:val="22"/>
      <w:lang w:val="en-GB"/>
    </w:rPr>
  </w:style>
  <w:style w:type="character" w:customStyle="1" w:styleId="HEABulletpointsChar">
    <w:name w:val="HEA Bulletpoints Char"/>
    <w:basedOn w:val="a4"/>
    <w:link w:val="HEABulletpoints0"/>
    <w:rsid w:val="002E0611"/>
    <w:rPr>
      <w:rFonts w:ascii="Open Sans" w:hAnsi="Open Sans"/>
      <w:color w:val="000000" w:themeColor="text1"/>
      <w:sz w:val="22"/>
      <w:lang w:val="en-GB"/>
    </w:rPr>
  </w:style>
  <w:style w:type="paragraph" w:customStyle="1" w:styleId="HEANumbers">
    <w:name w:val="HEA Numbers"/>
    <w:basedOn w:val="HEANumbering"/>
    <w:link w:val="HEANumbersChar"/>
    <w:rsid w:val="002E0611"/>
    <w:pPr>
      <w:numPr>
        <w:numId w:val="21"/>
      </w:numPr>
    </w:pPr>
  </w:style>
  <w:style w:type="character" w:customStyle="1" w:styleId="HEANumberingChar">
    <w:name w:val="HEA Numbering Char"/>
    <w:basedOn w:val="a0"/>
    <w:link w:val="HEANumbering"/>
    <w:rsid w:val="002E0611"/>
    <w:rPr>
      <w:rFonts w:ascii="Open Sans" w:hAnsi="Open Sans"/>
      <w:color w:val="000000" w:themeColor="text1"/>
      <w:sz w:val="22"/>
      <w:lang w:val="en-GB"/>
    </w:rPr>
  </w:style>
  <w:style w:type="character" w:customStyle="1" w:styleId="HEANumbersChar">
    <w:name w:val="HEA Numbers Char"/>
    <w:basedOn w:val="HEANumberingChar"/>
    <w:link w:val="HEANumbers"/>
    <w:rsid w:val="002E0611"/>
    <w:rPr>
      <w:rFonts w:ascii="Open Sans" w:hAnsi="Open Sans"/>
      <w:color w:val="000000" w:themeColor="text1"/>
      <w:sz w:val="22"/>
      <w:lang w:val="en-GB"/>
    </w:rPr>
  </w:style>
  <w:style w:type="paragraph" w:customStyle="1" w:styleId="HEABulletPoints">
    <w:name w:val="HEA Bullet Points"/>
    <w:basedOn w:val="a3"/>
    <w:link w:val="HEABulletPointsChar0"/>
    <w:qFormat/>
    <w:rsid w:val="00E22A30"/>
    <w:pPr>
      <w:numPr>
        <w:numId w:val="22"/>
      </w:numPr>
    </w:pPr>
  </w:style>
  <w:style w:type="paragraph" w:customStyle="1" w:styleId="HEANumberings">
    <w:name w:val="HEA Numberings"/>
    <w:basedOn w:val="HEABulletPoints"/>
    <w:link w:val="HEANumberingsChar"/>
    <w:qFormat/>
    <w:rsid w:val="00E22A30"/>
    <w:pPr>
      <w:numPr>
        <w:numId w:val="23"/>
      </w:numPr>
    </w:pPr>
  </w:style>
  <w:style w:type="character" w:customStyle="1" w:styleId="HEABulletPointsChar0">
    <w:name w:val="HEA Bullet Points Char"/>
    <w:basedOn w:val="a4"/>
    <w:link w:val="HEABulletPoints"/>
    <w:rsid w:val="00E22A30"/>
    <w:rPr>
      <w:rFonts w:ascii="Open Sans" w:hAnsi="Open Sans"/>
      <w:color w:val="000000" w:themeColor="text1"/>
      <w:sz w:val="22"/>
      <w:lang w:val="en-GB"/>
    </w:rPr>
  </w:style>
  <w:style w:type="character" w:customStyle="1" w:styleId="HEANumberingsChar">
    <w:name w:val="HEA Numberings Char"/>
    <w:basedOn w:val="HEABulletPointsChar0"/>
    <w:link w:val="HEANumberings"/>
    <w:rsid w:val="00E22A30"/>
    <w:rPr>
      <w:rFonts w:ascii="Open Sans" w:hAnsi="Open Sans"/>
      <w:color w:val="000000" w:themeColor="text1"/>
      <w:sz w:val="22"/>
      <w:lang w:val="en-GB"/>
    </w:rPr>
  </w:style>
  <w:style w:type="character" w:styleId="a5">
    <w:name w:val="Hyperlink"/>
    <w:basedOn w:val="a0"/>
    <w:uiPriority w:val="99"/>
    <w:unhideWhenUsed/>
    <w:rsid w:val="008F44FE"/>
    <w:rPr>
      <w:color w:val="0000FF" w:themeColor="hyperlink"/>
      <w:u w:val="single"/>
    </w:rPr>
  </w:style>
  <w:style w:type="paragraph" w:styleId="a6">
    <w:name w:val="header"/>
    <w:basedOn w:val="a"/>
    <w:link w:val="a7"/>
    <w:uiPriority w:val="99"/>
    <w:unhideWhenUsed/>
    <w:rsid w:val="00D0127E"/>
    <w:pPr>
      <w:tabs>
        <w:tab w:val="center" w:pos="4513"/>
        <w:tab w:val="right" w:pos="9026"/>
      </w:tabs>
    </w:pPr>
  </w:style>
  <w:style w:type="character" w:customStyle="1" w:styleId="a7">
    <w:name w:val="页眉 字符"/>
    <w:basedOn w:val="a0"/>
    <w:link w:val="a6"/>
    <w:uiPriority w:val="99"/>
    <w:rsid w:val="00D0127E"/>
    <w:rPr>
      <w:rFonts w:ascii="Open Sans" w:hAnsi="Open Sans"/>
      <w:color w:val="000000" w:themeColor="text1"/>
      <w:sz w:val="22"/>
      <w:lang w:val="en-GB"/>
    </w:rPr>
  </w:style>
  <w:style w:type="paragraph" w:styleId="a8">
    <w:name w:val="footer"/>
    <w:basedOn w:val="a"/>
    <w:link w:val="a9"/>
    <w:uiPriority w:val="99"/>
    <w:unhideWhenUsed/>
    <w:rsid w:val="00D0127E"/>
    <w:pPr>
      <w:tabs>
        <w:tab w:val="center" w:pos="4513"/>
        <w:tab w:val="right" w:pos="9026"/>
      </w:tabs>
    </w:pPr>
  </w:style>
  <w:style w:type="character" w:customStyle="1" w:styleId="a9">
    <w:name w:val="页脚 字符"/>
    <w:basedOn w:val="a0"/>
    <w:link w:val="a8"/>
    <w:uiPriority w:val="99"/>
    <w:rsid w:val="00D0127E"/>
    <w:rPr>
      <w:rFonts w:ascii="Open Sans" w:hAnsi="Open Sans"/>
      <w:color w:val="000000" w:themeColor="text1"/>
      <w:sz w:val="22"/>
      <w:lang w:val="en-GB"/>
    </w:rPr>
  </w:style>
  <w:style w:type="paragraph" w:styleId="aa">
    <w:name w:val="Normal (Web)"/>
    <w:basedOn w:val="a"/>
    <w:uiPriority w:val="99"/>
    <w:unhideWhenUsed/>
    <w:rsid w:val="00643282"/>
    <w:pPr>
      <w:spacing w:before="100" w:beforeAutospacing="1" w:after="100" w:afterAutospacing="1"/>
    </w:pPr>
    <w:rPr>
      <w:rFonts w:ascii="Times New Roman" w:eastAsia="Times New Roman" w:hAnsi="Times New Roman" w:cs="Times New Roman"/>
      <w:color w:val="auto"/>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5536060">
      <w:bodyDiv w:val="1"/>
      <w:marLeft w:val="0"/>
      <w:marRight w:val="0"/>
      <w:marTop w:val="0"/>
      <w:marBottom w:val="0"/>
      <w:divBdr>
        <w:top w:val="none" w:sz="0" w:space="0" w:color="auto"/>
        <w:left w:val="none" w:sz="0" w:space="0" w:color="auto"/>
        <w:bottom w:val="none" w:sz="0" w:space="0" w:color="auto"/>
        <w:right w:val="none" w:sz="0" w:space="0" w:color="auto"/>
      </w:divBdr>
    </w:div>
    <w:div w:id="511992594">
      <w:bodyDiv w:val="1"/>
      <w:marLeft w:val="0"/>
      <w:marRight w:val="0"/>
      <w:marTop w:val="0"/>
      <w:marBottom w:val="0"/>
      <w:divBdr>
        <w:top w:val="none" w:sz="0" w:space="0" w:color="auto"/>
        <w:left w:val="none" w:sz="0" w:space="0" w:color="auto"/>
        <w:bottom w:val="none" w:sz="0" w:space="0" w:color="auto"/>
        <w:right w:val="none" w:sz="0" w:space="0" w:color="auto"/>
      </w:divBdr>
      <w:divsChild>
        <w:div w:id="640888913">
          <w:marLeft w:val="0"/>
          <w:marRight w:val="0"/>
          <w:marTop w:val="0"/>
          <w:marBottom w:val="0"/>
          <w:divBdr>
            <w:top w:val="none" w:sz="0" w:space="0" w:color="auto"/>
            <w:left w:val="none" w:sz="0" w:space="0" w:color="auto"/>
            <w:bottom w:val="none" w:sz="0" w:space="0" w:color="auto"/>
            <w:right w:val="none" w:sz="0" w:space="0" w:color="auto"/>
          </w:divBdr>
          <w:divsChild>
            <w:div w:id="1708605802">
              <w:marLeft w:val="0"/>
              <w:marRight w:val="0"/>
              <w:marTop w:val="0"/>
              <w:marBottom w:val="0"/>
              <w:divBdr>
                <w:top w:val="none" w:sz="0" w:space="0" w:color="auto"/>
                <w:left w:val="none" w:sz="0" w:space="0" w:color="auto"/>
                <w:bottom w:val="none" w:sz="0" w:space="0" w:color="auto"/>
                <w:right w:val="none" w:sz="0" w:space="0" w:color="auto"/>
              </w:divBdr>
              <w:divsChild>
                <w:div w:id="1885478006">
                  <w:marLeft w:val="0"/>
                  <w:marRight w:val="0"/>
                  <w:marTop w:val="0"/>
                  <w:marBottom w:val="0"/>
                  <w:divBdr>
                    <w:top w:val="none" w:sz="0" w:space="0" w:color="auto"/>
                    <w:left w:val="none" w:sz="0" w:space="0" w:color="auto"/>
                    <w:bottom w:val="none" w:sz="0" w:space="0" w:color="auto"/>
                    <w:right w:val="none" w:sz="0" w:space="0" w:color="auto"/>
                  </w:divBdr>
                  <w:divsChild>
                    <w:div w:id="909578781">
                      <w:marLeft w:val="0"/>
                      <w:marRight w:val="0"/>
                      <w:marTop w:val="0"/>
                      <w:marBottom w:val="0"/>
                      <w:divBdr>
                        <w:top w:val="none" w:sz="0" w:space="0" w:color="auto"/>
                        <w:left w:val="none" w:sz="0" w:space="0" w:color="auto"/>
                        <w:bottom w:val="none" w:sz="0" w:space="0" w:color="auto"/>
                        <w:right w:val="none" w:sz="0" w:space="0" w:color="auto"/>
                      </w:divBdr>
                      <w:divsChild>
                        <w:div w:id="1138650698">
                          <w:marLeft w:val="0"/>
                          <w:marRight w:val="0"/>
                          <w:marTop w:val="0"/>
                          <w:marBottom w:val="0"/>
                          <w:divBdr>
                            <w:top w:val="none" w:sz="0" w:space="0" w:color="auto"/>
                            <w:left w:val="none" w:sz="0" w:space="0" w:color="auto"/>
                            <w:bottom w:val="none" w:sz="0" w:space="0" w:color="auto"/>
                            <w:right w:val="none" w:sz="0" w:space="0" w:color="auto"/>
                          </w:divBdr>
                          <w:divsChild>
                            <w:div w:id="1176918184">
                              <w:marLeft w:val="0"/>
                              <w:marRight w:val="0"/>
                              <w:marTop w:val="0"/>
                              <w:marBottom w:val="0"/>
                              <w:divBdr>
                                <w:top w:val="none" w:sz="0" w:space="0" w:color="auto"/>
                                <w:left w:val="none" w:sz="0" w:space="0" w:color="auto"/>
                                <w:bottom w:val="none" w:sz="0" w:space="0" w:color="auto"/>
                                <w:right w:val="none" w:sz="0" w:space="0" w:color="auto"/>
                              </w:divBdr>
                              <w:divsChild>
                                <w:div w:id="122297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2067055">
      <w:bodyDiv w:val="1"/>
      <w:marLeft w:val="0"/>
      <w:marRight w:val="0"/>
      <w:marTop w:val="0"/>
      <w:marBottom w:val="0"/>
      <w:divBdr>
        <w:top w:val="none" w:sz="0" w:space="0" w:color="auto"/>
        <w:left w:val="none" w:sz="0" w:space="0" w:color="auto"/>
        <w:bottom w:val="none" w:sz="0" w:space="0" w:color="auto"/>
        <w:right w:val="none" w:sz="0" w:space="0" w:color="auto"/>
      </w:divBdr>
      <w:divsChild>
        <w:div w:id="1736124260">
          <w:marLeft w:val="0"/>
          <w:marRight w:val="0"/>
          <w:marTop w:val="0"/>
          <w:marBottom w:val="0"/>
          <w:divBdr>
            <w:top w:val="none" w:sz="0" w:space="0" w:color="auto"/>
            <w:left w:val="none" w:sz="0" w:space="0" w:color="auto"/>
            <w:bottom w:val="none" w:sz="0" w:space="0" w:color="auto"/>
            <w:right w:val="none" w:sz="0" w:space="0" w:color="auto"/>
          </w:divBdr>
          <w:divsChild>
            <w:div w:id="1375540495">
              <w:marLeft w:val="0"/>
              <w:marRight w:val="0"/>
              <w:marTop w:val="0"/>
              <w:marBottom w:val="0"/>
              <w:divBdr>
                <w:top w:val="none" w:sz="0" w:space="0" w:color="auto"/>
                <w:left w:val="none" w:sz="0" w:space="0" w:color="auto"/>
                <w:bottom w:val="none" w:sz="0" w:space="0" w:color="auto"/>
                <w:right w:val="none" w:sz="0" w:space="0" w:color="auto"/>
              </w:divBdr>
              <w:divsChild>
                <w:div w:id="244384667">
                  <w:marLeft w:val="0"/>
                  <w:marRight w:val="0"/>
                  <w:marTop w:val="0"/>
                  <w:marBottom w:val="0"/>
                  <w:divBdr>
                    <w:top w:val="none" w:sz="0" w:space="0" w:color="auto"/>
                    <w:left w:val="none" w:sz="0" w:space="0" w:color="auto"/>
                    <w:bottom w:val="none" w:sz="0" w:space="0" w:color="auto"/>
                    <w:right w:val="none" w:sz="0" w:space="0" w:color="auto"/>
                  </w:divBdr>
                  <w:divsChild>
                    <w:div w:id="1801411334">
                      <w:marLeft w:val="0"/>
                      <w:marRight w:val="0"/>
                      <w:marTop w:val="0"/>
                      <w:marBottom w:val="0"/>
                      <w:divBdr>
                        <w:top w:val="none" w:sz="0" w:space="0" w:color="auto"/>
                        <w:left w:val="none" w:sz="0" w:space="0" w:color="auto"/>
                        <w:bottom w:val="none" w:sz="0" w:space="0" w:color="auto"/>
                        <w:right w:val="none" w:sz="0" w:space="0" w:color="auto"/>
                      </w:divBdr>
                      <w:divsChild>
                        <w:div w:id="1346441500">
                          <w:marLeft w:val="0"/>
                          <w:marRight w:val="0"/>
                          <w:marTop w:val="0"/>
                          <w:marBottom w:val="0"/>
                          <w:divBdr>
                            <w:top w:val="none" w:sz="0" w:space="0" w:color="auto"/>
                            <w:left w:val="none" w:sz="0" w:space="0" w:color="auto"/>
                            <w:bottom w:val="none" w:sz="0" w:space="0" w:color="auto"/>
                            <w:right w:val="none" w:sz="0" w:space="0" w:color="auto"/>
                          </w:divBdr>
                          <w:divsChild>
                            <w:div w:id="695157386">
                              <w:marLeft w:val="0"/>
                              <w:marRight w:val="0"/>
                              <w:marTop w:val="0"/>
                              <w:marBottom w:val="0"/>
                              <w:divBdr>
                                <w:top w:val="none" w:sz="0" w:space="0" w:color="auto"/>
                                <w:left w:val="none" w:sz="0" w:space="0" w:color="auto"/>
                                <w:bottom w:val="none" w:sz="0" w:space="0" w:color="auto"/>
                                <w:right w:val="none" w:sz="0" w:space="0" w:color="auto"/>
                              </w:divBdr>
                              <w:divsChild>
                                <w:div w:id="10192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4920653">
      <w:bodyDiv w:val="1"/>
      <w:marLeft w:val="0"/>
      <w:marRight w:val="0"/>
      <w:marTop w:val="0"/>
      <w:marBottom w:val="0"/>
      <w:divBdr>
        <w:top w:val="none" w:sz="0" w:space="0" w:color="auto"/>
        <w:left w:val="none" w:sz="0" w:space="0" w:color="auto"/>
        <w:bottom w:val="none" w:sz="0" w:space="0" w:color="auto"/>
        <w:right w:val="none" w:sz="0" w:space="0" w:color="auto"/>
      </w:divBdr>
      <w:divsChild>
        <w:div w:id="1676569196">
          <w:marLeft w:val="0"/>
          <w:marRight w:val="0"/>
          <w:marTop w:val="0"/>
          <w:marBottom w:val="0"/>
          <w:divBdr>
            <w:top w:val="none" w:sz="0" w:space="0" w:color="auto"/>
            <w:left w:val="none" w:sz="0" w:space="0" w:color="auto"/>
            <w:bottom w:val="none" w:sz="0" w:space="0" w:color="auto"/>
            <w:right w:val="none" w:sz="0" w:space="0" w:color="auto"/>
          </w:divBdr>
          <w:divsChild>
            <w:div w:id="456804533">
              <w:marLeft w:val="0"/>
              <w:marRight w:val="0"/>
              <w:marTop w:val="0"/>
              <w:marBottom w:val="0"/>
              <w:divBdr>
                <w:top w:val="none" w:sz="0" w:space="0" w:color="auto"/>
                <w:left w:val="none" w:sz="0" w:space="0" w:color="auto"/>
                <w:bottom w:val="none" w:sz="0" w:space="0" w:color="auto"/>
                <w:right w:val="none" w:sz="0" w:space="0" w:color="auto"/>
              </w:divBdr>
              <w:divsChild>
                <w:div w:id="1316030378">
                  <w:marLeft w:val="0"/>
                  <w:marRight w:val="0"/>
                  <w:marTop w:val="0"/>
                  <w:marBottom w:val="0"/>
                  <w:divBdr>
                    <w:top w:val="none" w:sz="0" w:space="0" w:color="auto"/>
                    <w:left w:val="none" w:sz="0" w:space="0" w:color="auto"/>
                    <w:bottom w:val="none" w:sz="0" w:space="0" w:color="auto"/>
                    <w:right w:val="none" w:sz="0" w:space="0" w:color="auto"/>
                  </w:divBdr>
                  <w:divsChild>
                    <w:div w:id="160585142">
                      <w:marLeft w:val="0"/>
                      <w:marRight w:val="0"/>
                      <w:marTop w:val="0"/>
                      <w:marBottom w:val="0"/>
                      <w:divBdr>
                        <w:top w:val="none" w:sz="0" w:space="0" w:color="auto"/>
                        <w:left w:val="none" w:sz="0" w:space="0" w:color="auto"/>
                        <w:bottom w:val="none" w:sz="0" w:space="0" w:color="auto"/>
                        <w:right w:val="none" w:sz="0" w:space="0" w:color="auto"/>
                      </w:divBdr>
                      <w:divsChild>
                        <w:div w:id="1324578748">
                          <w:marLeft w:val="0"/>
                          <w:marRight w:val="0"/>
                          <w:marTop w:val="0"/>
                          <w:marBottom w:val="0"/>
                          <w:divBdr>
                            <w:top w:val="none" w:sz="0" w:space="0" w:color="auto"/>
                            <w:left w:val="none" w:sz="0" w:space="0" w:color="auto"/>
                            <w:bottom w:val="none" w:sz="0" w:space="0" w:color="auto"/>
                            <w:right w:val="none" w:sz="0" w:space="0" w:color="auto"/>
                          </w:divBdr>
                          <w:divsChild>
                            <w:div w:id="255134289">
                              <w:marLeft w:val="0"/>
                              <w:marRight w:val="0"/>
                              <w:marTop w:val="0"/>
                              <w:marBottom w:val="0"/>
                              <w:divBdr>
                                <w:top w:val="none" w:sz="0" w:space="0" w:color="auto"/>
                                <w:left w:val="none" w:sz="0" w:space="0" w:color="auto"/>
                                <w:bottom w:val="none" w:sz="0" w:space="0" w:color="auto"/>
                                <w:right w:val="none" w:sz="0" w:space="0" w:color="auto"/>
                              </w:divBdr>
                              <w:divsChild>
                                <w:div w:id="88375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heacademy.ac.uk"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EDC36CDF302E49A3D4B36D92B215A2" ma:contentTypeVersion="1" ma:contentTypeDescription="Create a new document." ma:contentTypeScope="" ma:versionID="028ef78182e1179183d77692e639fbcf">
  <xsd:schema xmlns:xsd="http://www.w3.org/2001/XMLSchema" xmlns:p="http://schemas.microsoft.com/office/2006/metadata/properties" xmlns:ns1="http://schemas.microsoft.com/sharepoint/v3" targetNamespace="http://schemas.microsoft.com/office/2006/metadata/properties" ma:root="true" ma:fieldsID="aa28d9419ff7f02bbaa2c7f50debd0b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9139A6-9B55-4198-89D7-75DFA8F9B6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7B22C2C-7E94-480F-920B-FCF95BF74D42}">
  <ds:schemaRefs>
    <ds:schemaRef ds:uri="http://schemas.microsoft.com/office/2006/metadata/properties"/>
    <ds:schemaRef ds:uri="http://schemas.microsoft.com/sharepoint/v3"/>
  </ds:schemaRefs>
</ds:datastoreItem>
</file>

<file path=customXml/itemProps3.xml><?xml version="1.0" encoding="utf-8"?>
<ds:datastoreItem xmlns:ds="http://schemas.openxmlformats.org/officeDocument/2006/customXml" ds:itemID="{63B7F1F6-6553-4AB4-A022-2B0A1FA318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713</Words>
  <Characters>4068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The Higher Education Academy</Company>
  <LinksUpToDate>false</LinksUpToDate>
  <CharactersWithSpaces>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dc:creator>
  <cp:lastModifiedBy>dudu</cp:lastModifiedBy>
  <cp:revision>2</cp:revision>
  <dcterms:created xsi:type="dcterms:W3CDTF">2017-02-14T02:59:00Z</dcterms:created>
  <dcterms:modified xsi:type="dcterms:W3CDTF">2017-02-14T02:59:00Z</dcterms:modified>
</cp:coreProperties>
</file>